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E5" w:rsidRPr="003D42E5" w:rsidRDefault="003D42E5" w:rsidP="003D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2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2E5" w:rsidRPr="003D42E5" w:rsidRDefault="003D42E5" w:rsidP="003D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BCD" w:rsidRDefault="00E34BCD" w:rsidP="003D42E5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36"/>
          <w:szCs w:val="36"/>
        </w:rPr>
      </w:pPr>
    </w:p>
    <w:p w:rsidR="00E34BCD" w:rsidRPr="00E34BCD" w:rsidRDefault="00E34BCD" w:rsidP="00E34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EN DEL DÍA NO. 81</w:t>
      </w:r>
    </w:p>
    <w:p w:rsidR="00E34BCD" w:rsidRPr="00E34BCD" w:rsidRDefault="00E34BCD" w:rsidP="00E34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12 de agosto 2019</w:t>
      </w:r>
    </w:p>
    <w:p w:rsidR="00E34BCD" w:rsidRPr="00E34BCD" w:rsidRDefault="00E34BCD" w:rsidP="00E34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SALA UNIVERSIDAD TSEYOR DE GRANADA</w:t>
      </w:r>
    </w:p>
    <w:p w:rsidR="00E34BCD" w:rsidRPr="00E34BCD" w:rsidRDefault="00E34BCD" w:rsidP="00E34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20,0 Horas España</w:t>
      </w:r>
    </w:p>
    <w:p w:rsidR="00E34BCD" w:rsidRPr="00E34BCD" w:rsidRDefault="00E34BCD" w:rsidP="00E34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34BCD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Mantra de </w:t>
      </w:r>
      <w:proofErr w:type="spellStart"/>
      <w:r w:rsidRPr="00E34BCD">
        <w:rPr>
          <w:rFonts w:ascii="Times New Roman" w:eastAsia="Times New Roman" w:hAnsi="Times New Roman" w:cs="Times New Roman"/>
          <w:sz w:val="32"/>
          <w:szCs w:val="32"/>
          <w:lang w:val="en-US"/>
        </w:rPr>
        <w:t>protección</w:t>
      </w:r>
      <w:proofErr w:type="spellEnd"/>
    </w:p>
    <w:p w:rsidR="00E34BCD" w:rsidRPr="00E34BCD" w:rsidRDefault="00E34BCD" w:rsidP="00E34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5" w:history="1">
        <w:r w:rsidRPr="00E34BC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M02. Meditación de unificación con los </w:t>
        </w:r>
        <w:proofErr w:type="spellStart"/>
        <w:r w:rsidRPr="00E34BC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muulL</w:t>
        </w:r>
        <w:proofErr w:type="spellEnd"/>
      </w:hyperlink>
    </w:p>
    <w:p w:rsidR="00E34BCD" w:rsidRPr="00E34BCD" w:rsidRDefault="00E34BCD" w:rsidP="00E34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 xml:space="preserve">Extrapolación a: </w:t>
      </w:r>
      <w:proofErr w:type="spellStart"/>
      <w:r w:rsidRPr="00E34BCD">
        <w:rPr>
          <w:rFonts w:ascii="Times New Roman" w:eastAsia="Times New Roman" w:hAnsi="Times New Roman" w:cs="Times New Roman"/>
          <w:sz w:val="32"/>
          <w:szCs w:val="32"/>
        </w:rPr>
        <w:t>Aggunion</w:t>
      </w:r>
      <w:proofErr w:type="spellEnd"/>
      <w:r w:rsidRPr="00E34BCD">
        <w:rPr>
          <w:rFonts w:ascii="Times New Roman" w:eastAsia="Times New Roman" w:hAnsi="Times New Roman" w:cs="Times New Roman"/>
          <w:sz w:val="32"/>
          <w:szCs w:val="32"/>
        </w:rPr>
        <w:t xml:space="preserve"> guiada por Escampada Libre la Pm</w:t>
      </w:r>
    </w:p>
    <w:p w:rsidR="00E34BCD" w:rsidRPr="00E34BCD" w:rsidRDefault="00E34BCD" w:rsidP="00E34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 xml:space="preserve">Revisión del listado de las extrapolaciones fechas y quien las hará </w:t>
      </w:r>
      <w:hyperlink r:id="rId6" w:tgtFrame="_blank" w:tooltip="Documento no publicado" w:history="1">
        <w:r w:rsidRPr="00E34BC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listado-de-experiencias-en-el-agoa-del-junantal.html</w:t>
        </w:r>
      </w:hyperlink>
    </w:p>
    <w:p w:rsidR="00E34BCD" w:rsidRPr="00E34BCD" w:rsidRDefault="00E34BCD" w:rsidP="00E34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 xml:space="preserve">Lectura y aprobación del Acta No. 80 del 8 de julio del 2019 </w:t>
      </w:r>
      <w:hyperlink r:id="rId7" w:tgtFrame="_blank" w:tooltip="Documento no publicado" w:history="1">
        <w:r w:rsidRPr="00E34BC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acta-no-80-del-8-de-julio-del-2019.html</w:t>
        </w:r>
      </w:hyperlink>
    </w:p>
    <w:p w:rsidR="00E34BCD" w:rsidRPr="00E34BCD" w:rsidRDefault="00E34BCD" w:rsidP="00E34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Revisión de la lista depurada de los miembros del departamento y sus equipos</w:t>
      </w:r>
      <w:hyperlink r:id="rId8" w:tgtFrame="_blank" w:tooltip="Documento no publicado" w:history="1">
        <w:r w:rsidRPr="00E34BC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miembros-departamento.html</w:t>
        </w:r>
      </w:hyperlink>
    </w:p>
    <w:p w:rsidR="00E34BCD" w:rsidRPr="00E34BCD" w:rsidRDefault="00E34BCD" w:rsidP="00E34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9" w:history="1">
        <w:r w:rsidRPr="00E34BC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7. </w:t>
        </w:r>
      </w:hyperlink>
      <w:r w:rsidRPr="00E34BCD">
        <w:rPr>
          <w:rFonts w:ascii="Times New Roman" w:eastAsia="Times New Roman" w:hAnsi="Times New Roman" w:cs="Times New Roman"/>
          <w:sz w:val="32"/>
          <w:szCs w:val="32"/>
        </w:rPr>
        <w:t>Estatus de los cuadernillos – se enviaron a Documentación y Bibliografía</w:t>
      </w:r>
      <w:proofErr w:type="gramStart"/>
      <w:r w:rsidRPr="00E34BCD">
        <w:rPr>
          <w:rFonts w:ascii="Times New Roman" w:eastAsia="Times New Roman" w:hAnsi="Times New Roman" w:cs="Times New Roman"/>
          <w:sz w:val="32"/>
          <w:szCs w:val="32"/>
        </w:rPr>
        <w:t>?</w:t>
      </w:r>
      <w:proofErr w:type="gramEnd"/>
    </w:p>
    <w:p w:rsidR="00E34BCD" w:rsidRPr="00E34BCD" w:rsidRDefault="00E34BCD" w:rsidP="00E34B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Sugerencias de la hermana Liceo para cambiar la dinámica de las reuniones del departamento.</w:t>
      </w:r>
    </w:p>
    <w:p w:rsidR="00E34BCD" w:rsidRPr="00E34BCD" w:rsidRDefault="00E34BCD" w:rsidP="00E34B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Espacio para las síntesis del comunicado 964</w:t>
      </w:r>
    </w:p>
    <w:p w:rsidR="00E34BCD" w:rsidRPr="00E34BCD" w:rsidRDefault="00E34BCD" w:rsidP="00E34B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Espacio para recomendar lecturas con una breve explicación porque.</w:t>
      </w:r>
    </w:p>
    <w:p w:rsidR="00E34BCD" w:rsidRDefault="00E34BCD" w:rsidP="00E34B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4BCD">
        <w:rPr>
          <w:rFonts w:ascii="Times New Roman" w:eastAsia="Times New Roman" w:hAnsi="Times New Roman" w:cs="Times New Roman"/>
          <w:sz w:val="32"/>
          <w:szCs w:val="32"/>
        </w:rPr>
        <w:t>Sugerencias para el próximo Orden del día No. 82 del 8 de septiembre del 201</w:t>
      </w:r>
    </w:p>
    <w:p w:rsidR="00E34BCD" w:rsidRDefault="00E34BCD" w:rsidP="00E34BCD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32"/>
          <w:szCs w:val="32"/>
        </w:rPr>
      </w:pPr>
    </w:p>
    <w:p w:rsidR="00E34BCD" w:rsidRDefault="00E34BCD" w:rsidP="00E34BCD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32"/>
          <w:szCs w:val="32"/>
        </w:rPr>
      </w:pPr>
    </w:p>
    <w:p w:rsidR="00E34BCD" w:rsidRDefault="00E34BCD" w:rsidP="00E34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36"/>
          <w:szCs w:val="36"/>
        </w:rPr>
      </w:pPr>
    </w:p>
    <w:p w:rsidR="003D42E5" w:rsidRPr="003D42E5" w:rsidRDefault="003D42E5" w:rsidP="00E34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DEPARTAMENTO DE EXPERIENCIAS INTERDIMENSIONALES</w:t>
      </w:r>
    </w:p>
    <w:p w:rsidR="003D42E5" w:rsidRPr="003D42E5" w:rsidRDefault="003D42E5" w:rsidP="003D4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ACTA NO. 80</w:t>
      </w:r>
    </w:p>
    <w:p w:rsidR="003D42E5" w:rsidRPr="003D42E5" w:rsidRDefault="003D42E5" w:rsidP="003D4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8 de julio 2019</w:t>
      </w:r>
    </w:p>
    <w:p w:rsidR="003D42E5" w:rsidRPr="003D42E5" w:rsidRDefault="003D42E5" w:rsidP="003D4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SALA UNIVERSIDAD TSEYOR DE GRANADA</w:t>
      </w:r>
    </w:p>
    <w:p w:rsidR="003D42E5" w:rsidRPr="003D42E5" w:rsidRDefault="003D42E5" w:rsidP="003D4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20,0 Horas España</w:t>
      </w:r>
    </w:p>
    <w:p w:rsidR="003D42E5" w:rsidRPr="003D42E5" w:rsidRDefault="003D42E5" w:rsidP="003D42E5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</w:rPr>
      </w:pPr>
    </w:p>
    <w:p w:rsidR="003D42E5" w:rsidRPr="003D42E5" w:rsidRDefault="003D42E5" w:rsidP="003D42E5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b/>
          <w:color w:val="0070C0"/>
          <w:sz w:val="36"/>
          <w:szCs w:val="36"/>
        </w:rPr>
        <w:t>Hermanos Presentes</w:t>
      </w:r>
      <w:r w:rsidRPr="003D42E5">
        <w:rPr>
          <w:rFonts w:ascii="Arial" w:eastAsia="Times New Roman" w:hAnsi="Arial" w:cs="Arial"/>
          <w:color w:val="0070C0"/>
          <w:sz w:val="36"/>
          <w:szCs w:val="36"/>
        </w:rPr>
        <w:t>:  Está Aquí la Pm, Aran Valles Pm, Dadora de Paz Pm, Escampada Libre la Pm, Lo tienes Todo la Pm, Luz Estelar la Pm, Liceo, Paseo Dulce la Pm,</w:t>
      </w: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 Canal Radial pm</w:t>
      </w:r>
    </w:p>
    <w:p w:rsidR="003D42E5" w:rsidRPr="003D42E5" w:rsidRDefault="003D42E5" w:rsidP="003D42E5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>Se comienza la reunión con el mantra de protección cantada por la hermana Luz Estelar la pm y seguimos con la meditación de unificación de los Muul</w:t>
      </w:r>
      <w:r w:rsidR="000E330E"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 por Aran Valles Pm</w:t>
      </w:r>
    </w:p>
    <w:p w:rsidR="003D42E5" w:rsidRPr="003D42E5" w:rsidRDefault="003D42E5" w:rsidP="003D42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Se hizo una </w:t>
      </w:r>
      <w:r w:rsidR="00AC3303" w:rsidRPr="00CC7FE5">
        <w:rPr>
          <w:rFonts w:ascii="Arial" w:eastAsia="Times New Roman" w:hAnsi="Arial" w:cs="Arial"/>
          <w:color w:val="0070C0"/>
          <w:sz w:val="36"/>
          <w:szCs w:val="36"/>
        </w:rPr>
        <w:t>extrapolación</w:t>
      </w: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 a la UTU Huom</w:t>
      </w:r>
      <w:r w:rsidR="00AC3303" w:rsidRPr="00CC7FE5">
        <w:rPr>
          <w:rFonts w:ascii="Arial" w:eastAsia="Times New Roman" w:hAnsi="Arial" w:cs="Arial"/>
          <w:color w:val="0070C0"/>
          <w:sz w:val="36"/>
          <w:szCs w:val="36"/>
        </w:rPr>
        <w:t>m</w:t>
      </w: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o guiada por nuestra hermana Canal Radial Pm, ver resultados en el anexo. </w:t>
      </w:r>
      <w:hyperlink r:id="rId10" w:tgtFrame="_blank" w:tooltip="Documento no publicado" w:history="1">
        <w:r w:rsidR="008108CC" w:rsidRPr="00CC7FE5">
          <w:rPr>
            <w:rStyle w:val="Hyperlink"/>
            <w:color w:val="0070C0"/>
          </w:rPr>
          <w:t>julio-extrapolacion-sala-departamento.html</w:t>
        </w:r>
      </w:hyperlink>
    </w:p>
    <w:p w:rsidR="00AC3303" w:rsidRPr="00CC7FE5" w:rsidRDefault="00AC3303" w:rsidP="00AC3303">
      <w:pPr>
        <w:pStyle w:val="ListParagraph"/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Se lee y aprueba por unanimidad de los presentes </w:t>
      </w:r>
      <w:proofErr w:type="spellStart"/>
      <w:r w:rsidRPr="00CC7FE5">
        <w:rPr>
          <w:rFonts w:ascii="Arial" w:eastAsia="Times New Roman" w:hAnsi="Arial" w:cs="Arial"/>
          <w:color w:val="0070C0"/>
          <w:sz w:val="36"/>
          <w:szCs w:val="36"/>
        </w:rPr>
        <w:t>el</w:t>
      </w:r>
      <w:proofErr w:type="spellEnd"/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  Acta No. 80 del 8  de julio del 2019.</w:t>
      </w:r>
    </w:p>
    <w:p w:rsidR="00AC3303" w:rsidRPr="00CC7FE5" w:rsidRDefault="00AC3303" w:rsidP="008108CC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</w:p>
    <w:p w:rsidR="003D42E5" w:rsidRPr="00CC7FE5" w:rsidRDefault="003D42E5" w:rsidP="00AC3303">
      <w:pPr>
        <w:pStyle w:val="ListParagraph"/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 xml:space="preserve">Revisión del listado de las extrapolaciones se harán en el Ágora del Junantal y dialogar del resultado de la </w:t>
      </w:r>
      <w:r w:rsidR="00CC7FE5" w:rsidRPr="003D42E5">
        <w:rPr>
          <w:rFonts w:ascii="Arial" w:eastAsia="Times New Roman" w:hAnsi="Arial" w:cs="Arial"/>
          <w:color w:val="0070C0"/>
          <w:sz w:val="36"/>
          <w:szCs w:val="36"/>
        </w:rPr>
        <w:t>última</w:t>
      </w:r>
      <w:r w:rsidR="00583D8B"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 </w:t>
      </w:r>
      <w:r w:rsidR="00CC7FE5">
        <w:rPr>
          <w:rFonts w:ascii="Arial" w:eastAsia="Times New Roman" w:hAnsi="Arial" w:cs="Arial"/>
          <w:color w:val="0070C0"/>
          <w:sz w:val="36"/>
          <w:szCs w:val="36"/>
        </w:rPr>
        <w:t>h</w:t>
      </w:r>
      <w:r w:rsidR="00583D8B" w:rsidRPr="00CC7FE5">
        <w:rPr>
          <w:rFonts w:ascii="Arial" w:eastAsia="Times New Roman" w:hAnsi="Arial" w:cs="Arial"/>
          <w:color w:val="0070C0"/>
          <w:sz w:val="36"/>
          <w:szCs w:val="36"/>
        </w:rPr>
        <w:t>echa en el Ágora del Junan</w:t>
      </w:r>
      <w:r w:rsidRPr="003D42E5">
        <w:rPr>
          <w:rFonts w:ascii="Arial" w:eastAsia="Times New Roman" w:hAnsi="Arial" w:cs="Arial"/>
          <w:color w:val="0070C0"/>
          <w:sz w:val="36"/>
          <w:szCs w:val="36"/>
        </w:rPr>
        <w:t xml:space="preserve">tal. </w:t>
      </w:r>
    </w:p>
    <w:p w:rsidR="00583D8B" w:rsidRPr="00CC7FE5" w:rsidRDefault="00583D8B" w:rsidP="00583D8B">
      <w:pPr>
        <w:pStyle w:val="ListParagraph"/>
        <w:rPr>
          <w:rFonts w:ascii="Arial" w:eastAsia="Times New Roman" w:hAnsi="Arial" w:cs="Arial"/>
          <w:color w:val="0070C0"/>
          <w:sz w:val="36"/>
          <w:szCs w:val="36"/>
        </w:rPr>
      </w:pPr>
    </w:p>
    <w:p w:rsidR="000E330E" w:rsidRPr="00CC7FE5" w:rsidRDefault="00583D8B" w:rsidP="00583D8B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Acordamos unificar las dos listas y queda una sola con los hermanos que le corresponde hacer la </w:t>
      </w:r>
      <w:r w:rsidRPr="00CC7FE5">
        <w:rPr>
          <w:rFonts w:ascii="Arial" w:eastAsia="Times New Roman" w:hAnsi="Arial" w:cs="Arial"/>
          <w:color w:val="0070C0"/>
          <w:sz w:val="36"/>
          <w:szCs w:val="36"/>
        </w:rPr>
        <w:lastRenderedPageBreak/>
        <w:t>meditación primero en el departamento y segundo en el Ágora del Junantal. Ver  enlace:</w:t>
      </w:r>
    </w:p>
    <w:p w:rsidR="00583D8B" w:rsidRPr="00CC7FE5" w:rsidRDefault="000E330E" w:rsidP="00583D8B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color w:val="0070C0"/>
        </w:rPr>
        <w:t xml:space="preserve"> </w:t>
      </w:r>
      <w:hyperlink r:id="rId11" w:tgtFrame="_blank" w:tooltip="Documento no publicado" w:history="1">
        <w:r w:rsidRPr="00CC7FE5">
          <w:rPr>
            <w:rStyle w:val="Hyperlink"/>
            <w:color w:val="0070C0"/>
          </w:rPr>
          <w:t>Julio-extrapolaci</w:t>
        </w:r>
        <w:r w:rsidRPr="00CC7FE5">
          <w:rPr>
            <w:rStyle w:val="Hyperlink"/>
            <w:color w:val="0070C0"/>
          </w:rPr>
          <w:t>o</w:t>
        </w:r>
        <w:r w:rsidRPr="00CC7FE5">
          <w:rPr>
            <w:rStyle w:val="Hyperlink"/>
            <w:color w:val="0070C0"/>
          </w:rPr>
          <w:t>n-sala-departamento.html</w:t>
        </w:r>
      </w:hyperlink>
    </w:p>
    <w:p w:rsidR="008108CC" w:rsidRPr="00CC7FE5" w:rsidRDefault="008108CC" w:rsidP="008108CC">
      <w:pPr>
        <w:pStyle w:val="ListParagraph"/>
        <w:rPr>
          <w:rFonts w:ascii="Arial" w:eastAsia="Times New Roman" w:hAnsi="Arial" w:cs="Arial"/>
          <w:color w:val="0070C0"/>
          <w:sz w:val="36"/>
          <w:szCs w:val="36"/>
        </w:rPr>
      </w:pPr>
    </w:p>
    <w:p w:rsidR="00583D8B" w:rsidRDefault="00CC7FE5" w:rsidP="008108CC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>
        <w:rPr>
          <w:rFonts w:ascii="Arial" w:eastAsia="Times New Roman" w:hAnsi="Arial" w:cs="Arial"/>
          <w:color w:val="0070C0"/>
          <w:sz w:val="36"/>
          <w:szCs w:val="36"/>
        </w:rPr>
        <w:t>También se acordó darle publicidad en el whatsapp para que los hermanos sepan que ese día se hará una extrapolación.</w:t>
      </w:r>
    </w:p>
    <w:p w:rsidR="00CC7FE5" w:rsidRPr="003D42E5" w:rsidRDefault="00CC7FE5" w:rsidP="008108CC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</w:p>
    <w:p w:rsidR="003D42E5" w:rsidRPr="00CC7FE5" w:rsidRDefault="003D42E5" w:rsidP="003D42E5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Revisión de los equipos del departamento</w:t>
      </w:r>
    </w:p>
    <w:p w:rsidR="00583D8B" w:rsidRPr="00CC7FE5" w:rsidRDefault="00583D8B" w:rsidP="00CC7FE5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>En este tema se acordó por unanimidad que era imperativo depurar las listas y se fueron leyendo todos los hermanos que aparecen en la lista y fuimos eliminando aquellos que hace mucho tiempo no aparecen en las reuniones.  Se acordó depurarla y luego enviarla al Ágora del Junantal por si hay alguien que anhele seguir en el departamento lo informe.</w:t>
      </w:r>
    </w:p>
    <w:p w:rsidR="00583D8B" w:rsidRPr="00CC7FE5" w:rsidRDefault="00583D8B" w:rsidP="000E330E">
      <w:pPr>
        <w:pStyle w:val="ListParagraph"/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>El departamento quedo de la siguiente manera:</w:t>
      </w:r>
    </w:p>
    <w:p w:rsidR="00583D8B" w:rsidRPr="00CC7FE5" w:rsidRDefault="00583D8B" w:rsidP="000E330E">
      <w:pPr>
        <w:pStyle w:val="ListParagraph"/>
        <w:spacing w:before="240" w:after="0" w:line="240" w:lineRule="auto"/>
        <w:textAlignment w:val="baseline"/>
        <w:rPr>
          <w:color w:val="0070C0"/>
        </w:rPr>
      </w:pPr>
      <w:hyperlink r:id="rId12" w:tgtFrame="_blank" w:tooltip="Documento no publicado" w:history="1">
        <w:proofErr w:type="gramStart"/>
        <w:r w:rsidRPr="00CC7FE5">
          <w:rPr>
            <w:rStyle w:val="Hyperlink"/>
            <w:color w:val="0070C0"/>
          </w:rPr>
          <w:t>miembros-departamento.html</w:t>
        </w:r>
        <w:proofErr w:type="gramEnd"/>
      </w:hyperlink>
    </w:p>
    <w:p w:rsidR="00583D8B" w:rsidRPr="003D42E5" w:rsidRDefault="00583D8B" w:rsidP="000E330E">
      <w:pPr>
        <w:spacing w:after="24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</w:p>
    <w:p w:rsidR="000E330E" w:rsidRPr="00CC7FE5" w:rsidRDefault="000E330E" w:rsidP="000E330E">
      <w:pPr>
        <w:numPr>
          <w:ilvl w:val="0"/>
          <w:numId w:val="4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Programación </w:t>
      </w:r>
      <w:r w:rsidR="003D42E5" w:rsidRPr="003D42E5">
        <w:rPr>
          <w:rFonts w:ascii="Arial" w:eastAsia="Times New Roman" w:hAnsi="Arial" w:cs="Arial"/>
          <w:color w:val="0070C0"/>
          <w:sz w:val="36"/>
          <w:szCs w:val="36"/>
        </w:rPr>
        <w:t>extrapolació</w:t>
      </w: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n en el ágora – </w:t>
      </w:r>
    </w:p>
    <w:p w:rsidR="003D42E5" w:rsidRPr="00CC7FE5" w:rsidRDefault="000E330E" w:rsidP="000E330E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 xml:space="preserve">        Le toca a la hermana Canal Radial Pm y se </w:t>
      </w:r>
    </w:p>
    <w:p w:rsidR="000E330E" w:rsidRDefault="00CC7FE5" w:rsidP="00CC7FE5">
      <w:pPr>
        <w:pStyle w:val="NoSpacing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 xml:space="preserve">       </w:t>
      </w:r>
      <w:r w:rsidR="000E330E" w:rsidRPr="00CC7FE5">
        <w:rPr>
          <w:rFonts w:ascii="Arial" w:hAnsi="Arial" w:cs="Arial"/>
          <w:color w:val="0070C0"/>
          <w:sz w:val="36"/>
          <w:szCs w:val="36"/>
        </w:rPr>
        <w:t xml:space="preserve"> Acordó que el hermano o hermana que lleve la </w:t>
      </w:r>
      <w:r w:rsidRPr="00CC7FE5">
        <w:rPr>
          <w:rFonts w:ascii="Arial" w:hAnsi="Arial" w:cs="Arial"/>
          <w:color w:val="0070C0"/>
          <w:sz w:val="36"/>
          <w:szCs w:val="36"/>
        </w:rPr>
        <w:t xml:space="preserve">  </w:t>
      </w:r>
      <w:r>
        <w:rPr>
          <w:rFonts w:ascii="Arial" w:hAnsi="Arial" w:cs="Arial"/>
          <w:color w:val="0070C0"/>
          <w:sz w:val="36"/>
          <w:szCs w:val="36"/>
        </w:rPr>
        <w:t xml:space="preserve">    </w:t>
      </w:r>
    </w:p>
    <w:p w:rsidR="00CC7FE5" w:rsidRDefault="00CC7FE5" w:rsidP="00CC7FE5">
      <w:pPr>
        <w:pStyle w:val="NoSpacing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 xml:space="preserve">        Extrapolación deberá enviarla al formulario.</w:t>
      </w:r>
    </w:p>
    <w:p w:rsidR="00CC7FE5" w:rsidRDefault="00CC7FE5" w:rsidP="00CC7FE5">
      <w:pPr>
        <w:pStyle w:val="NoSpacing"/>
        <w:rPr>
          <w:rFonts w:ascii="Arial" w:hAnsi="Arial" w:cs="Arial"/>
          <w:color w:val="0070C0"/>
          <w:sz w:val="36"/>
          <w:szCs w:val="36"/>
        </w:rPr>
      </w:pPr>
    </w:p>
    <w:p w:rsidR="00CC7FE5" w:rsidRPr="00CC7FE5" w:rsidRDefault="00CC7FE5" w:rsidP="00CC7FE5">
      <w:pPr>
        <w:pStyle w:val="NoSpacing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>Los temas siguientes no se trataron por falta de tiempo.</w:t>
      </w:r>
    </w:p>
    <w:p w:rsidR="000E330E" w:rsidRPr="00CC7FE5" w:rsidRDefault="000E330E" w:rsidP="000E330E">
      <w:pPr>
        <w:pStyle w:val="NoSpacing"/>
        <w:rPr>
          <w:rFonts w:cstheme="minorHAnsi"/>
          <w:color w:val="0070C0"/>
        </w:rPr>
      </w:pPr>
      <w:r w:rsidRPr="00CC7FE5">
        <w:rPr>
          <w:color w:val="0070C0"/>
        </w:rPr>
        <w:t xml:space="preserve">      </w:t>
      </w:r>
    </w:p>
    <w:p w:rsidR="003D42E5" w:rsidRDefault="003D42E5" w:rsidP="00CC7FE5">
      <w:pPr>
        <w:pStyle w:val="ListParagraph"/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CC7FE5">
        <w:rPr>
          <w:rFonts w:ascii="Arial" w:eastAsia="Times New Roman" w:hAnsi="Arial" w:cs="Arial"/>
          <w:color w:val="0070C0"/>
          <w:sz w:val="36"/>
          <w:szCs w:val="36"/>
        </w:rPr>
        <w:t>Estatus de los cuadernillos – se enviaron a Documentación y Bibliografía</w:t>
      </w:r>
      <w:proofErr w:type="gramStart"/>
      <w:r w:rsidRPr="00CC7FE5">
        <w:rPr>
          <w:rFonts w:ascii="Arial" w:eastAsia="Times New Roman" w:hAnsi="Arial" w:cs="Arial"/>
          <w:color w:val="0070C0"/>
          <w:sz w:val="36"/>
          <w:szCs w:val="36"/>
        </w:rPr>
        <w:t>?</w:t>
      </w:r>
      <w:proofErr w:type="gramEnd"/>
    </w:p>
    <w:p w:rsidR="00CC7FE5" w:rsidRPr="00CC7FE5" w:rsidRDefault="00CC7FE5" w:rsidP="00CC7FE5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</w:p>
    <w:p w:rsidR="003D42E5" w:rsidRPr="003D42E5" w:rsidRDefault="00CC7FE5" w:rsidP="003D4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>
        <w:rPr>
          <w:rFonts w:ascii="Arial" w:eastAsia="Times New Roman" w:hAnsi="Arial" w:cs="Arial"/>
          <w:color w:val="0070C0"/>
          <w:sz w:val="36"/>
          <w:szCs w:val="36"/>
        </w:rPr>
        <w:t>Espacio para las sí</w:t>
      </w:r>
      <w:r w:rsidR="003D42E5" w:rsidRPr="003D42E5">
        <w:rPr>
          <w:rFonts w:ascii="Arial" w:eastAsia="Times New Roman" w:hAnsi="Arial" w:cs="Arial"/>
          <w:color w:val="0070C0"/>
          <w:sz w:val="36"/>
          <w:szCs w:val="36"/>
        </w:rPr>
        <w:t>ntesis del comunicado 964</w:t>
      </w:r>
    </w:p>
    <w:p w:rsidR="003D42E5" w:rsidRPr="003D42E5" w:rsidRDefault="003D42E5" w:rsidP="003D4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 xml:space="preserve">Espacio para recomendar lecturas con una breve </w:t>
      </w:r>
      <w:r w:rsidR="00CC7FE5" w:rsidRPr="003D42E5">
        <w:rPr>
          <w:rFonts w:ascii="Arial" w:eastAsia="Times New Roman" w:hAnsi="Arial" w:cs="Arial"/>
          <w:color w:val="0070C0"/>
          <w:sz w:val="36"/>
          <w:szCs w:val="36"/>
        </w:rPr>
        <w:t>explicación</w:t>
      </w:r>
      <w:r w:rsidRPr="003D42E5">
        <w:rPr>
          <w:rFonts w:ascii="Arial" w:eastAsia="Times New Roman" w:hAnsi="Arial" w:cs="Arial"/>
          <w:color w:val="0070C0"/>
          <w:sz w:val="36"/>
          <w:szCs w:val="36"/>
        </w:rPr>
        <w:t xml:space="preserve"> porque.</w:t>
      </w:r>
    </w:p>
    <w:p w:rsidR="003D42E5" w:rsidRDefault="003D42E5" w:rsidP="003D42E5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 xml:space="preserve">Sugerencias para el </w:t>
      </w:r>
      <w:r w:rsidR="00CC7FE5" w:rsidRPr="003D42E5">
        <w:rPr>
          <w:rFonts w:ascii="Arial" w:eastAsia="Times New Roman" w:hAnsi="Arial" w:cs="Arial"/>
          <w:color w:val="0070C0"/>
          <w:sz w:val="36"/>
          <w:szCs w:val="36"/>
        </w:rPr>
        <w:t>próximo</w:t>
      </w:r>
      <w:r w:rsidR="00CC7FE5">
        <w:rPr>
          <w:rFonts w:ascii="Arial" w:eastAsia="Times New Roman" w:hAnsi="Arial" w:cs="Arial"/>
          <w:color w:val="0070C0"/>
          <w:sz w:val="36"/>
          <w:szCs w:val="36"/>
        </w:rPr>
        <w:t xml:space="preserve"> Orden del </w:t>
      </w:r>
      <w:proofErr w:type="spellStart"/>
      <w:r w:rsidR="00CC7FE5">
        <w:rPr>
          <w:rFonts w:ascii="Arial" w:eastAsia="Times New Roman" w:hAnsi="Arial" w:cs="Arial"/>
          <w:color w:val="0070C0"/>
          <w:sz w:val="36"/>
          <w:szCs w:val="36"/>
        </w:rPr>
        <w:t>dia</w:t>
      </w:r>
      <w:proofErr w:type="spellEnd"/>
      <w:r w:rsidR="00CC7FE5">
        <w:rPr>
          <w:rFonts w:ascii="Arial" w:eastAsia="Times New Roman" w:hAnsi="Arial" w:cs="Arial"/>
          <w:color w:val="0070C0"/>
          <w:sz w:val="36"/>
          <w:szCs w:val="36"/>
        </w:rPr>
        <w:t xml:space="preserve"> No. 81</w:t>
      </w:r>
      <w:r w:rsidRPr="003D42E5">
        <w:rPr>
          <w:rFonts w:ascii="Arial" w:eastAsia="Times New Roman" w:hAnsi="Arial" w:cs="Arial"/>
          <w:color w:val="0070C0"/>
          <w:sz w:val="36"/>
          <w:szCs w:val="36"/>
        </w:rPr>
        <w:t xml:space="preserve"> del 12 de agosto del 2019</w:t>
      </w:r>
      <w:r w:rsidR="00CC7FE5">
        <w:rPr>
          <w:rFonts w:ascii="Arial" w:eastAsia="Times New Roman" w:hAnsi="Arial" w:cs="Arial"/>
          <w:color w:val="0070C0"/>
          <w:sz w:val="36"/>
          <w:szCs w:val="36"/>
        </w:rPr>
        <w:t>.</w:t>
      </w:r>
    </w:p>
    <w:p w:rsidR="00CC7FE5" w:rsidRPr="003D42E5" w:rsidRDefault="00CC7FE5" w:rsidP="00CC7FE5">
      <w:pPr>
        <w:spacing w:after="240" w:line="240" w:lineRule="auto"/>
        <w:textAlignment w:val="baseline"/>
        <w:rPr>
          <w:rFonts w:ascii="Arial" w:eastAsia="Times New Roman" w:hAnsi="Arial" w:cs="Arial"/>
          <w:color w:val="0070C0"/>
          <w:sz w:val="36"/>
          <w:szCs w:val="36"/>
        </w:rPr>
      </w:pPr>
    </w:p>
    <w:p w:rsidR="003D42E5" w:rsidRPr="003D42E5" w:rsidRDefault="003D42E5" w:rsidP="003D42E5">
      <w:pPr>
        <w:spacing w:before="240" w:after="24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 </w:t>
      </w:r>
    </w:p>
    <w:p w:rsidR="003D42E5" w:rsidRPr="003D42E5" w:rsidRDefault="003D42E5" w:rsidP="003D42E5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3D42E5">
        <w:rPr>
          <w:rFonts w:ascii="Arial" w:eastAsia="Times New Roman" w:hAnsi="Arial" w:cs="Arial"/>
          <w:color w:val="0070C0"/>
          <w:sz w:val="36"/>
          <w:szCs w:val="36"/>
        </w:rPr>
        <w:t> </w:t>
      </w:r>
    </w:p>
    <w:p w:rsidR="003D42E5" w:rsidRPr="003D42E5" w:rsidRDefault="003D42E5" w:rsidP="003D4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730A4" w:rsidRPr="003D42E5" w:rsidRDefault="008730A4">
      <w:pPr>
        <w:rPr>
          <w:sz w:val="36"/>
          <w:szCs w:val="36"/>
        </w:rPr>
      </w:pPr>
    </w:p>
    <w:sectPr w:rsidR="008730A4" w:rsidRPr="003D42E5" w:rsidSect="0087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953"/>
    <w:multiLevelType w:val="multilevel"/>
    <w:tmpl w:val="B2DAF95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1425"/>
    <w:multiLevelType w:val="multilevel"/>
    <w:tmpl w:val="F98A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91F46"/>
    <w:multiLevelType w:val="multilevel"/>
    <w:tmpl w:val="F554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C5D74"/>
    <w:multiLevelType w:val="multilevel"/>
    <w:tmpl w:val="063C93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22D78"/>
    <w:multiLevelType w:val="hybridMultilevel"/>
    <w:tmpl w:val="29C26C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4496B"/>
    <w:multiLevelType w:val="multilevel"/>
    <w:tmpl w:val="B4EC36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7831E7"/>
    <w:multiLevelType w:val="multilevel"/>
    <w:tmpl w:val="62EA1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D42E5"/>
    <w:rsid w:val="000E330E"/>
    <w:rsid w:val="003D42E5"/>
    <w:rsid w:val="00583D8B"/>
    <w:rsid w:val="00697729"/>
    <w:rsid w:val="008108CC"/>
    <w:rsid w:val="008730A4"/>
    <w:rsid w:val="00AC3303"/>
    <w:rsid w:val="00CC7FE5"/>
    <w:rsid w:val="00E3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A4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D42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2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330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E330E"/>
    <w:pPr>
      <w:spacing w:after="0" w:line="240" w:lineRule="auto"/>
    </w:pPr>
    <w:rPr>
      <w:lang w:val="es-PR"/>
    </w:rPr>
  </w:style>
  <w:style w:type="character" w:customStyle="1" w:styleId="Heading1Char">
    <w:name w:val="Heading 1 Char"/>
    <w:basedOn w:val="DefaultParagraphFont"/>
    <w:link w:val="Heading1"/>
    <w:uiPriority w:val="9"/>
    <w:rsid w:val="000E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utg/experiencias/ordendeldia/anexos/miembros-departament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eyor.org/utg/experiencias/ordendeldia/anexos/acta-no-80-del-8-de-julio-del-2019.html" TargetMode="External"/><Relationship Id="rId12" Type="http://schemas.openxmlformats.org/officeDocument/2006/relationships/hyperlink" Target="https://tseyor.org/utg/experiencias/ordendeldia/anexos/miembros-departamen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eyor.org/utg/experiencias/ordendeldia/anexos/listado-de-experiencias-en-el-agoa-del-junantal.html" TargetMode="External"/><Relationship Id="rId11" Type="http://schemas.openxmlformats.org/officeDocument/2006/relationships/hyperlink" Target="https://tseyor.org/utg/experiencias/ordendeldia/anexos/julio-extrapolacion-sala-departamento.html" TargetMode="External"/><Relationship Id="rId5" Type="http://schemas.openxmlformats.org/officeDocument/2006/relationships/hyperlink" Target="http://tseyor.org/biblioteca/audios/talleres/nuevos/M02.%20Meditaci%C3%B3n%20de%20unificaci%C3%B3n%20con%20los%20muul.mp3" TargetMode="External"/><Relationship Id="rId10" Type="http://schemas.openxmlformats.org/officeDocument/2006/relationships/hyperlink" Target="https://tseyor.org/utg/experiencias/ordendeldia/anexos/julio-extrapolacion-sala-departament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eyor.org/utg/experiencias/ordendeldia/anexos/miembros-departament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2019-08-11T03:20:00Z</dcterms:created>
  <dcterms:modified xsi:type="dcterms:W3CDTF">2019-08-11T03:20:00Z</dcterms:modified>
</cp:coreProperties>
</file>